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9639"/>
        </w:tabs>
        <w:spacing w:after="0"/>
        <w:rPr>
          <w:b/>
          <w:i/>
          <w:sz w:val="28"/>
        </w:rPr>
      </w:pPr>
      <w:r>
        <w:rPr>
          <w:b/>
          <w:sz w:val="24"/>
        </w:rPr>
        <w:t>3GPP TSG-SA5 Meeting #151</w:t>
      </w:r>
      <w:r>
        <w:rPr>
          <w:b/>
          <w:i/>
          <w:sz w:val="24"/>
        </w:rPr>
        <w:t xml:space="preserve"> </w:t>
      </w:r>
      <w:r>
        <w:rPr>
          <w:b/>
          <w:i/>
          <w:sz w:val="28"/>
        </w:rPr>
        <w:tab/>
      </w:r>
      <w:r>
        <w:rPr>
          <w:b/>
          <w:i/>
          <w:sz w:val="28"/>
        </w:rPr>
        <w:t>S5-</w:t>
      </w:r>
      <w:r>
        <w:rPr>
          <w:rFonts w:hint="eastAsia"/>
          <w:b/>
          <w:i/>
          <w:sz w:val="28"/>
        </w:rPr>
        <w:t>236853</w:t>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b/>
          <w:bCs/>
          <w:sz w:val="24"/>
        </w:rPr>
        <w:t>Xiamen, China, 9 - 13 October 2023</w:t>
      </w:r>
      <w:r>
        <w:tab/>
      </w:r>
    </w:p>
    <w:p>
      <w:pPr>
        <w:pStyle w:val="23"/>
      </w:pPr>
      <w:r>
        <w:t>{Guidance text shown in curly brackets, in italics. All guidance text is to be deleted before WID submission.</w:t>
      </w:r>
    </w:p>
    <w:p>
      <w:pPr>
        <w:pStyle w:val="23"/>
        <w:rPr>
          <w:rFonts w:cs="Arial"/>
        </w:rPr>
      </w:pPr>
      <w:r>
        <w:t>Note that this form is to be used for all types of Work Item, covering b</w:t>
      </w:r>
      <w:bookmarkStart w:id="0" w:name="_GoBack"/>
      <w:bookmarkEnd w:id="0"/>
      <w:r>
        <w:t>oth normative work and/or studies. A Work Item covering only studies is also known as "Study Item", as stated in TR 21.900.}</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AsiaInfo, China Unicom</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 SID on management aspects of RedCap feature</w:t>
      </w:r>
    </w:p>
    <w:p>
      <w:pPr>
        <w:pStyle w:val="23"/>
      </w:pPr>
      <w:r>
        <w:t xml:space="preserve">{"Revised" to be used only for WID already approved at plenary. For Revised WIDs, two versions have to be provided in a zip file: a clean one and one with revision marks showing the differences with the previously plenary-approved WID.} </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6.2.3</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   Study on management aspects of RedCap feature</w:t>
      </w:r>
    </w:p>
    <w:p>
      <w:pPr>
        <w:pStyle w:val="23"/>
      </w:pPr>
      <w:r>
        <w:t>{Free text. It has to be the same as in the "Title:" section above. Studies have to start by "Study on"}</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FS_RedCapM</w:t>
      </w:r>
    </w:p>
    <w:p>
      <w:pPr>
        <w:pStyle w:val="23"/>
      </w:pPr>
      <w:r>
        <w:t>{Propose an acronym. Final acronym to be confirmed at the plenary. The sign "-" is a level separator between (Feature)-(Building Block)-(Work Task). The sign "_" can be freely used. Studies have to start by "FS_". Each acronym level has to be simple and short, 7 characters max recommended}</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pPr>
        <w:pStyle w:val="23"/>
      </w:pPr>
      <w:r>
        <w:t xml:space="preserve">{A number to be provided by MCC at the plenary} </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Rel-19</w:t>
      </w:r>
    </w:p>
    <w:p>
      <w:pPr>
        <w:pStyle w:val="23"/>
      </w:pPr>
      <w:r>
        <w:t>{ Replace XX by the intended Release, e.g. Rel-19.  Note that this field indicates the proposed Release at the time of submission of the WID to TSG approval. It can later be changed without a need to revise the WID. The updated target Release is indicated in the Work Plan}</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3"/>
      </w:pPr>
      <w:r>
        <w:t>{For Normative work, identify the anticipated impacts. For a Study, identify the scope of the study}</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6"/>
            </w:pPr>
            <w:r>
              <w:t>Affects:</w:t>
            </w:r>
          </w:p>
        </w:tc>
        <w:tc>
          <w:tcPr>
            <w:tcW w:w="1275" w:type="dxa"/>
            <w:tcBorders>
              <w:left w:val="nil"/>
              <w:bottom w:val="single" w:color="auto" w:sz="12" w:space="0"/>
            </w:tcBorders>
            <w:shd w:val="clear" w:color="auto" w:fill="E0E0E0"/>
          </w:tcPr>
          <w:p>
            <w:pPr>
              <w:pStyle w:val="26"/>
            </w:pPr>
            <w:r>
              <w:t>UICC apps</w:t>
            </w:r>
          </w:p>
        </w:tc>
        <w:tc>
          <w:tcPr>
            <w:tcW w:w="1037" w:type="dxa"/>
            <w:tcBorders>
              <w:bottom w:val="single" w:color="auto" w:sz="12" w:space="0"/>
            </w:tcBorders>
            <w:shd w:val="clear" w:color="auto" w:fill="E0E0E0"/>
          </w:tcPr>
          <w:p>
            <w:pPr>
              <w:pStyle w:val="26"/>
            </w:pPr>
            <w:r>
              <w:t>ME</w:t>
            </w:r>
          </w:p>
        </w:tc>
        <w:tc>
          <w:tcPr>
            <w:tcW w:w="850" w:type="dxa"/>
            <w:tcBorders>
              <w:bottom w:val="single" w:color="auto" w:sz="12" w:space="0"/>
            </w:tcBorders>
            <w:shd w:val="clear" w:color="auto" w:fill="E0E0E0"/>
          </w:tcPr>
          <w:p>
            <w:pPr>
              <w:pStyle w:val="26"/>
            </w:pPr>
            <w:r>
              <w:t>AN</w:t>
            </w:r>
          </w:p>
        </w:tc>
        <w:tc>
          <w:tcPr>
            <w:tcW w:w="851" w:type="dxa"/>
            <w:tcBorders>
              <w:bottom w:val="single" w:color="auto" w:sz="12" w:space="0"/>
            </w:tcBorders>
            <w:shd w:val="clear" w:color="auto" w:fill="E0E0E0"/>
          </w:tcPr>
          <w:p>
            <w:pPr>
              <w:pStyle w:val="26"/>
            </w:pPr>
            <w:r>
              <w:t>CN</w:t>
            </w:r>
          </w:p>
        </w:tc>
        <w:tc>
          <w:tcPr>
            <w:tcW w:w="1752" w:type="dxa"/>
            <w:tcBorders>
              <w:bottom w:val="single" w:color="auto" w:sz="12" w:space="0"/>
            </w:tcBorders>
            <w:shd w:val="clear" w:color="auto" w:fill="E0E0E0"/>
          </w:tcPr>
          <w:p>
            <w:pPr>
              <w:pStyle w:val="2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6"/>
            </w:pPr>
            <w:r>
              <w:t>Yes</w:t>
            </w:r>
          </w:p>
        </w:tc>
        <w:tc>
          <w:tcPr>
            <w:tcW w:w="1275" w:type="dxa"/>
            <w:tcBorders>
              <w:top w:val="nil"/>
              <w:left w:val="nil"/>
            </w:tcBorders>
          </w:tcPr>
          <w:p>
            <w:pPr>
              <w:pStyle w:val="27"/>
            </w:pPr>
          </w:p>
        </w:tc>
        <w:tc>
          <w:tcPr>
            <w:tcW w:w="1037" w:type="dxa"/>
            <w:tcBorders>
              <w:top w:val="nil"/>
            </w:tcBorders>
          </w:tcPr>
          <w:p>
            <w:pPr>
              <w:pStyle w:val="27"/>
            </w:pPr>
          </w:p>
        </w:tc>
        <w:tc>
          <w:tcPr>
            <w:tcW w:w="850" w:type="dxa"/>
            <w:tcBorders>
              <w:top w:val="nil"/>
            </w:tcBorders>
          </w:tcPr>
          <w:p>
            <w:pPr>
              <w:pStyle w:val="27"/>
              <w:rPr>
                <w:rFonts w:hint="eastAsia"/>
                <w:lang w:eastAsia="zh-CN"/>
              </w:rPr>
            </w:pPr>
            <w:r>
              <w:rPr>
                <w:rFonts w:hint="eastAsia"/>
                <w:lang w:eastAsia="zh-CN"/>
              </w:rPr>
              <w:t>X</w:t>
            </w:r>
          </w:p>
        </w:tc>
        <w:tc>
          <w:tcPr>
            <w:tcW w:w="851" w:type="dxa"/>
            <w:tcBorders>
              <w:top w:val="nil"/>
            </w:tcBorders>
          </w:tcPr>
          <w:p>
            <w:pPr>
              <w:pStyle w:val="27"/>
            </w:pPr>
          </w:p>
        </w:tc>
        <w:tc>
          <w:tcPr>
            <w:tcW w:w="1752" w:type="dxa"/>
            <w:tcBorders>
              <w:top w:val="nil"/>
            </w:tcBorders>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No</w:t>
            </w:r>
          </w:p>
        </w:tc>
        <w:tc>
          <w:tcPr>
            <w:tcW w:w="1275" w:type="dxa"/>
            <w:tcBorders>
              <w:left w:val="nil"/>
            </w:tcBorders>
          </w:tcPr>
          <w:p>
            <w:pPr>
              <w:pStyle w:val="27"/>
              <w:rPr>
                <w:rFonts w:hint="eastAsia"/>
                <w:lang w:eastAsia="zh-CN"/>
              </w:rPr>
            </w:pPr>
            <w:r>
              <w:rPr>
                <w:rFonts w:hint="eastAsia"/>
                <w:lang w:eastAsia="zh-CN"/>
              </w:rPr>
              <w:t>X</w:t>
            </w:r>
          </w:p>
        </w:tc>
        <w:tc>
          <w:tcPr>
            <w:tcW w:w="1037" w:type="dxa"/>
          </w:tcPr>
          <w:p>
            <w:pPr>
              <w:pStyle w:val="27"/>
              <w:rPr>
                <w:rFonts w:hint="eastAsia"/>
                <w:lang w:eastAsia="zh-CN"/>
              </w:rPr>
            </w:pPr>
            <w:r>
              <w:rPr>
                <w:rFonts w:hint="eastAsia"/>
                <w:lang w:eastAsia="zh-CN"/>
              </w:rPr>
              <w:t>X</w:t>
            </w:r>
          </w:p>
        </w:tc>
        <w:tc>
          <w:tcPr>
            <w:tcW w:w="850" w:type="dxa"/>
          </w:tcPr>
          <w:p>
            <w:pPr>
              <w:pStyle w:val="27"/>
            </w:pPr>
          </w:p>
        </w:tc>
        <w:tc>
          <w:tcPr>
            <w:tcW w:w="851" w:type="dxa"/>
          </w:tcPr>
          <w:p>
            <w:pPr>
              <w:pStyle w:val="27"/>
              <w:rPr>
                <w:rFonts w:hint="eastAsia"/>
                <w:lang w:eastAsia="zh-CN"/>
              </w:rPr>
            </w:pPr>
            <w:r>
              <w:rPr>
                <w:rFonts w:hint="eastAsia"/>
                <w:lang w:eastAsia="zh-CN"/>
              </w:rPr>
              <w:t>X</w:t>
            </w:r>
          </w:p>
        </w:tc>
        <w:tc>
          <w:tcPr>
            <w:tcW w:w="1752" w:type="dxa"/>
          </w:tcPr>
          <w:p>
            <w:pPr>
              <w:pStyle w:val="27"/>
              <w:rPr>
                <w:rFonts w:hint="eastAsia"/>
                <w:lang w:eastAsia="zh-CN"/>
              </w:rPr>
            </w:pPr>
            <w:r>
              <w:rPr>
                <w:rFonts w:hint="eastAsia"/>
                <w:lang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Don't know</w:t>
            </w:r>
          </w:p>
        </w:tc>
        <w:tc>
          <w:tcPr>
            <w:tcW w:w="1275" w:type="dxa"/>
            <w:tcBorders>
              <w:left w:val="nil"/>
            </w:tcBorders>
          </w:tcPr>
          <w:p>
            <w:pPr>
              <w:pStyle w:val="27"/>
            </w:pPr>
          </w:p>
        </w:tc>
        <w:tc>
          <w:tcPr>
            <w:tcW w:w="1037" w:type="dxa"/>
          </w:tcPr>
          <w:p>
            <w:pPr>
              <w:pStyle w:val="27"/>
            </w:pPr>
          </w:p>
        </w:tc>
        <w:tc>
          <w:tcPr>
            <w:tcW w:w="850" w:type="dxa"/>
          </w:tcPr>
          <w:p>
            <w:pPr>
              <w:pStyle w:val="27"/>
            </w:pPr>
          </w:p>
        </w:tc>
        <w:tc>
          <w:tcPr>
            <w:tcW w:w="851" w:type="dxa"/>
          </w:tcPr>
          <w:p>
            <w:pPr>
              <w:pStyle w:val="27"/>
            </w:pPr>
          </w:p>
        </w:tc>
        <w:tc>
          <w:tcPr>
            <w:tcW w:w="1752" w:type="dxa"/>
          </w:tcPr>
          <w:p>
            <w:pPr>
              <w:pStyle w:val="27"/>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23"/>
      </w:pPr>
      <w:r>
        <w:t xml:space="preserve">{Tick one or more box(es). The full structure of all existing Work Items is shown in the 3GPP Work Plan in </w:t>
      </w:r>
      <w:r>
        <w:fldChar w:fldCharType="begin"/>
      </w:r>
      <w:r>
        <w:instrText xml:space="preserve"> HYPERLINK "https://ftp.3gpp.org/Information/WORK_PLAN" </w:instrText>
      </w:r>
      <w:r>
        <w:fldChar w:fldCharType="separate"/>
      </w:r>
      <w:r>
        <w:t>https://ftp.3gpp.org/Information/WORK_PLAN</w:t>
      </w:r>
      <w:r>
        <w:fldChar w:fldCharType="end"/>
      </w:r>
      <w:r>
        <w:t xml:space="preserve">}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rPr>
                <w:rFonts w:hint="eastAsia"/>
                <w:lang w:eastAsia="zh-CN"/>
              </w:rPr>
            </w:pPr>
            <w:r>
              <w:rPr>
                <w:rFonts w:hint="eastAsia"/>
                <w:lang w:eastAsia="zh-CN"/>
              </w:rPr>
              <w:t>X</w:t>
            </w:r>
          </w:p>
        </w:tc>
        <w:tc>
          <w:tcPr>
            <w:tcW w:w="2917" w:type="dxa"/>
            <w:shd w:val="clear" w:color="auto" w:fill="E0E0E0"/>
          </w:tcPr>
          <w:p>
            <w:pPr>
              <w:pStyle w:val="26"/>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pPr>
        <w:pStyle w:val="23"/>
      </w:pPr>
      <w:r>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 }</w:t>
      </w:r>
    </w:p>
    <w:p>
      <w:pPr>
        <w:pStyle w:val="23"/>
      </w:pPr>
      <w:r>
        <w:t xml:space="preserve">{This section is mandatory to be filled out by the rapporteur. This section is to be filled with care: it indicates to the companies monitoring the parent Work Item that it will be addressed in this study/work item.} </w:t>
      </w:r>
    </w:p>
    <w:p>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ind w:right="-99"/>
              <w:jc w:val="left"/>
            </w:pPr>
            <w:r>
              <w:t>Acronym</w:t>
            </w:r>
          </w:p>
        </w:tc>
        <w:tc>
          <w:tcPr>
            <w:tcW w:w="1101" w:type="dxa"/>
            <w:shd w:val="clear" w:color="auto" w:fill="E0E0E0"/>
          </w:tcPr>
          <w:p>
            <w:pPr>
              <w:pStyle w:val="26"/>
              <w:ind w:right="-99"/>
              <w:jc w:val="left"/>
            </w:pPr>
            <w:r>
              <w:t>Working Group</w:t>
            </w:r>
          </w:p>
        </w:tc>
        <w:tc>
          <w:tcPr>
            <w:tcW w:w="1101" w:type="dxa"/>
            <w:shd w:val="clear" w:color="auto" w:fill="E0E0E0"/>
          </w:tcPr>
          <w:p>
            <w:pPr>
              <w:pStyle w:val="26"/>
              <w:ind w:right="-99"/>
              <w:jc w:val="left"/>
            </w:pPr>
            <w:r>
              <w:t>Unique ID</w:t>
            </w:r>
          </w:p>
        </w:tc>
        <w:tc>
          <w:tcPr>
            <w:tcW w:w="6010" w:type="dxa"/>
            <w:shd w:val="clear" w:color="auto" w:fill="E0E0E0"/>
          </w:tcPr>
          <w:p>
            <w:pPr>
              <w:pStyle w:val="2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p>
        </w:tc>
        <w:tc>
          <w:tcPr>
            <w:tcW w:w="1101" w:type="dxa"/>
          </w:tcPr>
          <w:p>
            <w:pPr>
              <w:pStyle w:val="25"/>
            </w:pPr>
          </w:p>
        </w:tc>
        <w:tc>
          <w:tcPr>
            <w:tcW w:w="1101" w:type="dxa"/>
          </w:tcPr>
          <w:p>
            <w:pPr>
              <w:pStyle w:val="25"/>
            </w:pPr>
          </w:p>
        </w:tc>
        <w:tc>
          <w:tcPr>
            <w:tcW w:w="6010" w:type="dxa"/>
          </w:tcPr>
          <w:p>
            <w:pPr>
              <w:pStyle w:val="25"/>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3"/>
      </w:pPr>
      <w:r>
        <w:t>{List here other Work Items which relate to the proposed one, such as a Work Item in an earlier Release if further enhancing the feature from the previous Release)}</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6"/>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pPr>
            <w:r>
              <w:t>Unique ID</w:t>
            </w:r>
          </w:p>
        </w:tc>
        <w:tc>
          <w:tcPr>
            <w:tcW w:w="3326" w:type="dxa"/>
            <w:shd w:val="clear" w:color="auto" w:fill="E0E0E0"/>
          </w:tcPr>
          <w:p>
            <w:pPr>
              <w:pStyle w:val="26"/>
            </w:pPr>
            <w:r>
              <w:t>Title</w:t>
            </w:r>
          </w:p>
        </w:tc>
        <w:tc>
          <w:tcPr>
            <w:tcW w:w="5099" w:type="dxa"/>
            <w:shd w:val="clear" w:color="auto" w:fill="E0E0E0"/>
          </w:tcPr>
          <w:p>
            <w:pPr>
              <w:pStyle w:val="26"/>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r>
              <w:t>970080</w:t>
            </w:r>
          </w:p>
        </w:tc>
        <w:tc>
          <w:tcPr>
            <w:tcW w:w="3326" w:type="dxa"/>
          </w:tcPr>
          <w:p>
            <w:pPr>
              <w:pStyle w:val="25"/>
            </w:pPr>
            <w:r>
              <w:t>Enhanced support of reduced capability NR devices</w:t>
            </w:r>
          </w:p>
        </w:tc>
        <w:tc>
          <w:tcPr>
            <w:tcW w:w="5099" w:type="dxa"/>
          </w:tcPr>
          <w:p>
            <w:pPr>
              <w:pStyle w:val="23"/>
            </w:pPr>
            <w:r>
              <w:t xml:space="preserve">{optional free text}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r>
              <w:t>970013</w:t>
            </w:r>
          </w:p>
        </w:tc>
        <w:tc>
          <w:tcPr>
            <w:tcW w:w="3326" w:type="dxa"/>
          </w:tcPr>
          <w:p>
            <w:pPr>
              <w:pStyle w:val="25"/>
            </w:pPr>
            <w:r>
              <w:t>NR RedCap UE with long eDRX for RRC_INACTIVE State</w:t>
            </w:r>
          </w:p>
        </w:tc>
        <w:tc>
          <w:tcPr>
            <w:tcW w:w="5099" w:type="dxa"/>
          </w:tcPr>
          <w:p>
            <w:pPr>
              <w:pStyle w:val="23"/>
            </w:pPr>
          </w:p>
        </w:tc>
      </w:tr>
    </w:tbl>
    <w:p>
      <w:pPr>
        <w:pStyle w:val="28"/>
      </w:pPr>
    </w:p>
    <w:p>
      <w:pPr>
        <w:rPr>
          <w:b/>
          <w:bCs/>
        </w:rPr>
      </w:pPr>
      <w:r>
        <w:rPr>
          <w:b/>
          <w:bCs/>
        </w:rPr>
        <w:t>Dependency on non-3GPP (draft) specification:</w:t>
      </w:r>
    </w:p>
    <w:p>
      <w:pPr>
        <w:pStyle w:val="23"/>
      </w:pPr>
      <w:r>
        <w:t>{This section is to be typically used to identify the IETF dependencies. Delete the header "Dependency on non-3GPP (draft) specification:" if no such dependency}</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iCs/>
          <w:color w:val="000000"/>
          <w:lang w:eastAsia="ja-JP"/>
        </w:rPr>
      </w:pPr>
      <w:r>
        <w:rPr>
          <w:iCs/>
          <w:color w:val="000000"/>
          <w:lang w:eastAsia="ja-JP"/>
        </w:rPr>
        <w:t xml:space="preserve">RedCap is a lightweight network access solution aiming at scenarios with low-cost, low-power, and low-speed requirements, mainly applying to industrial sensors, video surveillance, and wearable scenarios. </w:t>
      </w:r>
    </w:p>
    <w:p>
      <w:pPr>
        <w:rPr>
          <w:iCs/>
          <w:color w:val="000000"/>
          <w:lang w:eastAsia="ja-JP"/>
        </w:rPr>
      </w:pPr>
    </w:p>
    <w:p>
      <w:pPr>
        <w:rPr>
          <w:iCs/>
          <w:color w:val="000000"/>
          <w:lang w:eastAsia="ja-JP"/>
        </w:rPr>
      </w:pPr>
      <w:r>
        <w:rPr>
          <w:iCs/>
          <w:color w:val="000000"/>
          <w:lang w:eastAsia="ja-JP"/>
        </w:rPr>
        <w:t>During Rel-17 and Rel-18, abundant SIs and WIs related to RedCap have been started widely by several TSGs including RAN1, RAN4, SA2, CT1, CT3, CT4, and CT6 with plenty of technical reports and normative works completed. RAN1 focuses on the physical implementations of RedCap and finishes TR 38.875 and TR 38.865. Following normative works have been finished in TS 38.211 and TS 38.300. SA2 focuses on the architecture of RedCap-related functionalities and finishes TR 21.700. Following normative works have been finished in TS 23.501 and TS 23.502.</w:t>
      </w:r>
    </w:p>
    <w:p>
      <w:pPr>
        <w:rPr>
          <w:iCs/>
          <w:color w:val="000000"/>
          <w:lang w:eastAsia="ja-JP"/>
        </w:rPr>
      </w:pPr>
    </w:p>
    <w:p>
      <w:pPr>
        <w:rPr>
          <w:iCs/>
        </w:rPr>
      </w:pPr>
      <w:r>
        <w:rPr>
          <w:iCs/>
          <w:color w:val="000000"/>
          <w:lang w:eastAsia="ja-JP"/>
        </w:rPr>
        <w:t>Therefore, considering previous outputs being competed by other TSGs, functionalities related to RedCap feature have been identified. SA5 is supposed to start the study the potential effects for OAM and possible management requirements of normative scenarios to promote RedCap supporting vertical.</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pStyle w:val="23"/>
        <w:rPr>
          <w:i w:val="0"/>
          <w:iCs/>
        </w:rPr>
      </w:pPr>
      <w:r>
        <w:rPr>
          <w:i w:val="0"/>
          <w:iCs/>
        </w:rPr>
        <w:t>(1) Study the enhancement of management mechanism supporting RedCap capabilities, e.g., BWP-related enhancements and eDRX-related enhancements.</w:t>
      </w:r>
    </w:p>
    <w:p>
      <w:pPr>
        <w:pStyle w:val="23"/>
        <w:rPr>
          <w:i w:val="0"/>
          <w:iCs/>
        </w:rPr>
      </w:pPr>
      <w:r>
        <w:rPr>
          <w:i w:val="0"/>
          <w:iCs/>
        </w:rPr>
        <w:t>(2) Study the dedicated performance management for RedCap, e.g., throughput-related management and inactive-mode-related management.</w:t>
      </w:r>
    </w:p>
    <w:p>
      <w:pPr>
        <w:pStyle w:val="23"/>
        <w:rPr>
          <w:i w:val="0"/>
          <w:iCs/>
        </w:rPr>
      </w:pPr>
      <w:r>
        <w:rPr>
          <w:i w:val="0"/>
          <w:iCs/>
        </w:rPr>
        <w:t>(3) Study the performance measurement and energy efficiency for RedCap services</w:t>
      </w:r>
    </w:p>
    <w:p>
      <w:pPr>
        <w:pStyle w:val="23"/>
        <w:rPr>
          <w:i w:val="0"/>
          <w:iCs/>
        </w:rPr>
      </w:pPr>
      <w:r>
        <w:rPr>
          <w:i w:val="0"/>
          <w:iCs/>
        </w:rPr>
        <w:t>(4) Study potential scenarios supporting RedCap-related management data interactive between CSC and CSP.</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6"/>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6"/>
            </w:pPr>
            <w:r>
              <w:t xml:space="preserve">Type </w:t>
            </w:r>
          </w:p>
        </w:tc>
        <w:tc>
          <w:tcPr>
            <w:tcW w:w="1134" w:type="dxa"/>
            <w:shd w:val="clear" w:color="auto" w:fill="D9D9D9"/>
            <w:tcMar>
              <w:left w:w="57" w:type="dxa"/>
              <w:right w:w="57" w:type="dxa"/>
            </w:tcMar>
          </w:tcPr>
          <w:p>
            <w:pPr>
              <w:pStyle w:val="26"/>
            </w:pPr>
            <w:r>
              <w:t>TS/TR number</w:t>
            </w:r>
          </w:p>
        </w:tc>
        <w:tc>
          <w:tcPr>
            <w:tcW w:w="2409" w:type="dxa"/>
            <w:shd w:val="clear" w:color="auto" w:fill="D9D9D9"/>
            <w:tcMar>
              <w:left w:w="57" w:type="dxa"/>
              <w:right w:w="57" w:type="dxa"/>
            </w:tcMar>
          </w:tcPr>
          <w:p>
            <w:pPr>
              <w:pStyle w:val="26"/>
            </w:pPr>
            <w:r>
              <w:t>Title</w:t>
            </w:r>
          </w:p>
        </w:tc>
        <w:tc>
          <w:tcPr>
            <w:tcW w:w="993" w:type="dxa"/>
            <w:shd w:val="clear" w:color="auto" w:fill="D9D9D9"/>
            <w:tcMar>
              <w:left w:w="57" w:type="dxa"/>
              <w:right w:w="57" w:type="dxa"/>
            </w:tcMar>
          </w:tcPr>
          <w:p>
            <w:pPr>
              <w:pStyle w:val="26"/>
            </w:pPr>
            <w:r>
              <w:t xml:space="preserve">For info </w:t>
            </w:r>
            <w:r>
              <w:br w:type="textWrapping"/>
            </w:r>
            <w:r>
              <w:t xml:space="preserve">at TSG# </w:t>
            </w:r>
          </w:p>
        </w:tc>
        <w:tc>
          <w:tcPr>
            <w:tcW w:w="1074" w:type="dxa"/>
            <w:shd w:val="clear" w:color="auto" w:fill="D9D9D9"/>
            <w:tcMar>
              <w:left w:w="57" w:type="dxa"/>
              <w:right w:w="57" w:type="dxa"/>
            </w:tcMar>
          </w:tcPr>
          <w:p>
            <w:pPr>
              <w:pStyle w:val="26"/>
            </w:pPr>
            <w:r>
              <w:t>For approval at TSG#</w:t>
            </w:r>
          </w:p>
        </w:tc>
        <w:tc>
          <w:tcPr>
            <w:tcW w:w="2186" w:type="dxa"/>
            <w:shd w:val="clear" w:color="auto" w:fill="D9D9D9"/>
            <w:tcMar>
              <w:left w:w="57" w:type="dxa"/>
              <w:right w:w="57" w:type="dxa"/>
            </w:tcMar>
          </w:tcPr>
          <w:p>
            <w:pPr>
              <w:pStyle w:val="26"/>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Internal TR</w:t>
            </w:r>
          </w:p>
          <w:p/>
        </w:tc>
        <w:tc>
          <w:tcPr>
            <w:tcW w:w="1134" w:type="dxa"/>
            <w:tcBorders>
              <w:top w:val="single" w:color="auto" w:sz="4" w:space="0"/>
              <w:left w:val="single" w:color="auto" w:sz="4" w:space="0"/>
              <w:bottom w:val="single" w:color="auto" w:sz="4" w:space="0"/>
              <w:right w:val="single" w:color="auto" w:sz="4" w:space="0"/>
            </w:tcBorders>
          </w:tcPr>
          <w:p>
            <w:r>
              <w:rPr>
                <w:lang w:eastAsia="zh-CN"/>
              </w:rPr>
              <w:t>28.XXX</w:t>
            </w:r>
          </w:p>
        </w:tc>
        <w:tc>
          <w:tcPr>
            <w:tcW w:w="2409" w:type="dxa"/>
            <w:tcBorders>
              <w:top w:val="single" w:color="auto" w:sz="4" w:space="0"/>
              <w:left w:val="single" w:color="auto" w:sz="4" w:space="0"/>
              <w:bottom w:val="single" w:color="auto" w:sz="4" w:space="0"/>
              <w:right w:val="single" w:color="auto" w:sz="4" w:space="0"/>
            </w:tcBorders>
          </w:tcPr>
          <w:p>
            <w:pPr>
              <w:pStyle w:val="23"/>
              <w:spacing w:after="0"/>
            </w:pPr>
            <w:r>
              <w:rPr>
                <w:i w:val="0"/>
                <w:color w:val="auto"/>
                <w:lang w:eastAsia="zh-CN"/>
              </w:rPr>
              <w:t>Study on management aspect of RedCap feature</w:t>
            </w:r>
          </w:p>
        </w:tc>
        <w:tc>
          <w:tcPr>
            <w:tcW w:w="993" w:type="dxa"/>
            <w:tcBorders>
              <w:top w:val="single" w:color="auto" w:sz="4" w:space="0"/>
              <w:left w:val="single" w:color="auto" w:sz="4" w:space="0"/>
              <w:bottom w:val="single" w:color="auto" w:sz="4" w:space="0"/>
              <w:right w:val="single" w:color="auto" w:sz="4" w:space="0"/>
            </w:tcBorders>
          </w:tcPr>
          <w:p>
            <w:pPr>
              <w:pStyle w:val="23"/>
              <w:spacing w:after="0"/>
            </w:pPr>
            <w:r>
              <w:rPr>
                <w:i w:val="0"/>
                <w:color w:val="auto"/>
                <w:lang w:eastAsia="zh-CN"/>
              </w:rPr>
              <w:t>Dec 2023(SA#102)</w:t>
            </w:r>
          </w:p>
        </w:tc>
        <w:tc>
          <w:tcPr>
            <w:tcW w:w="1074" w:type="dxa"/>
            <w:tcBorders>
              <w:top w:val="single" w:color="auto" w:sz="4" w:space="0"/>
              <w:left w:val="single" w:color="auto" w:sz="4" w:space="0"/>
              <w:bottom w:val="single" w:color="auto" w:sz="4" w:space="0"/>
              <w:right w:val="single" w:color="auto" w:sz="4" w:space="0"/>
            </w:tcBorders>
          </w:tcPr>
          <w:p>
            <w:pPr>
              <w:pStyle w:val="23"/>
              <w:spacing w:after="0"/>
              <w:rPr>
                <w:i w:val="0"/>
                <w:color w:val="auto"/>
                <w:lang w:eastAsia="zh-CN"/>
              </w:rPr>
            </w:pPr>
            <w:r>
              <w:rPr>
                <w:i w:val="0"/>
                <w:color w:val="auto"/>
                <w:lang w:eastAsia="zh-CN"/>
              </w:rPr>
              <w:t>Dec 202</w:t>
            </w:r>
            <w:r>
              <w:rPr>
                <w:i w:val="0"/>
                <w:color w:val="auto"/>
                <w:lang w:val="en-US" w:eastAsia="zh-CN"/>
              </w:rPr>
              <w:t>4</w:t>
            </w:r>
            <w:r>
              <w:rPr>
                <w:i w:val="0"/>
                <w:color w:val="auto"/>
                <w:lang w:eastAsia="zh-CN"/>
              </w:rPr>
              <w:t>(SA#10</w:t>
            </w:r>
            <w:r>
              <w:rPr>
                <w:i w:val="0"/>
                <w:color w:val="auto"/>
                <w:lang w:val="en-US" w:eastAsia="zh-CN"/>
              </w:rPr>
              <w:t>6</w:t>
            </w:r>
            <w:r>
              <w:rPr>
                <w:i w:val="0"/>
                <w:color w:val="auto"/>
                <w:lang w:eastAsia="zh-CN"/>
              </w:rPr>
              <w:t>)</w:t>
            </w:r>
          </w:p>
        </w:tc>
        <w:tc>
          <w:tcPr>
            <w:tcW w:w="2186" w:type="dxa"/>
            <w:tcBorders>
              <w:top w:val="single" w:color="auto" w:sz="4" w:space="0"/>
              <w:left w:val="single" w:color="auto" w:sz="4" w:space="0"/>
              <w:bottom w:val="single" w:color="auto" w:sz="4" w:space="0"/>
              <w:right w:val="single" w:color="auto" w:sz="4" w:space="0"/>
            </w:tcBorders>
          </w:tcPr>
          <w:p>
            <w:pPr>
              <w:pStyle w:val="23"/>
              <w:spacing w:after="0"/>
              <w:rPr>
                <w:i w:val="0"/>
                <w:color w:val="auto"/>
                <w:lang w:eastAsia="zh-CN"/>
              </w:rPr>
            </w:pPr>
          </w:p>
        </w:tc>
      </w:tr>
    </w:tbl>
    <w:p>
      <w:pPr>
        <w:pStyle w:val="28"/>
      </w:pP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3"/>
      </w:pPr>
      <w:r>
        <w:t>{Mandatory: &lt;FamilyName&gt;, &lt;GivenName&gt;, &lt;Company&gt;, &lt;email address&gt;}</w:t>
      </w:r>
    </w:p>
    <w:p>
      <w:pPr>
        <w:pStyle w:val="23"/>
      </w:pPr>
      <w:r>
        <w:t>{Optional: &lt;FamilyName&gt;, &lt;GivenName&gt;, &lt;Company&gt;, &lt;email address&gt;: Secondary task(s)}</w:t>
      </w:r>
    </w:p>
    <w:p>
      <w:pPr>
        <w:pStyle w:val="23"/>
      </w:pPr>
      <w:r>
        <w:t xml:space="preserve">{The first listed Rapporteur is the work item primary Rapporteur. The role of a Rapporteur is further described in </w:t>
      </w:r>
      <w:r>
        <w:fldChar w:fldCharType="begin"/>
      </w:r>
      <w:r>
        <w:instrText xml:space="preserve"> HYPERLINK "http://www.3gpp.org/specifications-groups/delegates-corner/writing-a-new-spec" </w:instrText>
      </w:r>
      <w:r>
        <w:fldChar w:fldCharType="separate"/>
      </w:r>
      <w:r>
        <w:t>www.3gpp.org/specifications-groups/delegates-corner/writing-a-new-spec</w:t>
      </w:r>
      <w:r>
        <w:fldChar w:fldCharType="end"/>
      </w:r>
      <w:r>
        <w:t xml:space="preserve">. By default, the primary Rapporteur shall ensure the production of the post-completion summary. </w:t>
      </w:r>
      <w:r>
        <w:br w:type="textWrapping"/>
      </w:r>
      <w:r>
        <w:t>Secondary Rapporteur(s) are possible for specific secondary task(s), such as: "Write the post-completion summary"; "In charge of a specific aspect of the work item (specify which)"; "Rapporteur for a secondary responsible WG (specify which)"}</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rPr>
          <w:rFonts w:hint="eastAsia"/>
          <w:lang w:eastAsia="zh-CN"/>
        </w:rPr>
      </w:pPr>
      <w:r>
        <w:rPr>
          <w:rFonts w:hint="eastAsia"/>
          <w:lang w:eastAsia="zh-CN"/>
        </w:rPr>
        <w:t>S</w:t>
      </w:r>
      <w:r>
        <w:rPr>
          <w:lang w:eastAsia="zh-CN"/>
        </w:rPr>
        <w:t>A5</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rFonts w:hint="eastAsia"/>
          <w:lang w:eastAsia="zh-CN"/>
        </w:rPr>
      </w:pPr>
      <w:r>
        <w:rPr>
          <w:rFonts w:hint="eastAsia"/>
          <w:lang w:eastAsia="zh-CN"/>
        </w:rPr>
        <w:t>S</w:t>
      </w:r>
      <w:r>
        <w:rPr>
          <w:lang w:eastAsia="zh-CN"/>
        </w:rPr>
        <w:t>A2, RAN1</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pPr>
        <w:pStyle w:val="23"/>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rFonts w:hint="eastAsia"/>
                <w:lang w:eastAsia="zh-CN"/>
              </w:rPr>
            </w:pPr>
            <w:r>
              <w:rPr>
                <w:rFonts w:hint="eastAsia"/>
                <w:lang w:eastAsia="zh-CN"/>
              </w:rPr>
              <w:t>C</w:t>
            </w:r>
            <w:r>
              <w:rPr>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rFonts w:hint="default" w:eastAsiaTheme="minorEastAsia"/>
                <w:lang w:val="en-US" w:eastAsia="zh-CN"/>
              </w:rPr>
            </w:pPr>
            <w:r>
              <w:rPr>
                <w:rFonts w:hint="eastAsia"/>
                <w:lang w:val="en-US" w:eastAsia="zh-CN"/>
              </w:rPr>
              <w:t>AsiaInfo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tcPr>
          <w:p>
            <w:pPr>
              <w:pStyle w:val="2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tcPr>
          <w:p>
            <w:pPr>
              <w:pStyle w:val="2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tcPr>
          <w:p>
            <w:pPr>
              <w:pStyle w:val="25"/>
            </w:pPr>
          </w:p>
        </w:tc>
      </w:tr>
    </w:tbl>
    <w:p/>
    <w:p/>
    <w:p/>
    <w:tbl>
      <w:tblPr>
        <w:tblStyle w:val="14"/>
        <w:tblW w:w="850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560"/>
        <w:gridCol w:w="1559"/>
        <w:gridCol w:w="1843"/>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701" w:type="dxa"/>
            <w:tcBorders>
              <w:top w:val="single" w:color="auto" w:sz="4" w:space="0"/>
              <w:left w:val="single" w:color="auto" w:sz="4" w:space="0"/>
              <w:bottom w:val="single" w:color="auto" w:sz="4" w:space="0"/>
              <w:right w:val="single" w:color="auto" w:sz="4" w:space="0"/>
            </w:tcBorders>
          </w:tcPr>
          <w:p>
            <w:pPr>
              <w:spacing w:after="180"/>
              <w:rPr>
                <w:rFonts w:eastAsia="宋体"/>
                <w:b/>
                <w:bCs/>
              </w:rPr>
            </w:pPr>
            <w:r>
              <w:rPr>
                <w:rFonts w:eastAsia="宋体"/>
                <w:b/>
                <w:bCs/>
              </w:rPr>
              <w:t>Work Task ID</w:t>
            </w:r>
          </w:p>
        </w:tc>
        <w:tc>
          <w:tcPr>
            <w:tcW w:w="1560" w:type="dxa"/>
            <w:tcBorders>
              <w:top w:val="single" w:color="auto" w:sz="4" w:space="0"/>
              <w:left w:val="single" w:color="auto" w:sz="4" w:space="0"/>
              <w:bottom w:val="single" w:color="auto" w:sz="4" w:space="0"/>
              <w:right w:val="single" w:color="auto" w:sz="4" w:space="0"/>
            </w:tcBorders>
          </w:tcPr>
          <w:p>
            <w:pPr>
              <w:spacing w:after="180"/>
              <w:rPr>
                <w:rFonts w:eastAsia="宋体"/>
                <w:b/>
                <w:bCs/>
              </w:rPr>
            </w:pPr>
            <w:r>
              <w:rPr>
                <w:rFonts w:eastAsia="宋体"/>
                <w:b/>
                <w:bCs/>
              </w:rPr>
              <w:t>TU Estimate</w:t>
            </w:r>
          </w:p>
          <w:p>
            <w:pPr>
              <w:spacing w:after="180"/>
              <w:rPr>
                <w:rFonts w:eastAsia="宋体"/>
                <w:b/>
                <w:bCs/>
              </w:rPr>
            </w:pPr>
            <w:r>
              <w:rPr>
                <w:rFonts w:eastAsia="宋体"/>
                <w:b/>
                <w:bCs/>
              </w:rPr>
              <w:t>(Study)</w:t>
            </w:r>
          </w:p>
        </w:tc>
        <w:tc>
          <w:tcPr>
            <w:tcW w:w="1559" w:type="dxa"/>
            <w:tcBorders>
              <w:top w:val="single" w:color="auto" w:sz="4" w:space="0"/>
              <w:left w:val="single" w:color="auto" w:sz="4" w:space="0"/>
              <w:bottom w:val="single" w:color="auto" w:sz="4" w:space="0"/>
              <w:right w:val="single" w:color="auto" w:sz="4" w:space="0"/>
            </w:tcBorders>
          </w:tcPr>
          <w:p>
            <w:pPr>
              <w:spacing w:after="180"/>
              <w:rPr>
                <w:rFonts w:eastAsia="宋体"/>
                <w:b/>
                <w:bCs/>
              </w:rPr>
            </w:pPr>
            <w:r>
              <w:rPr>
                <w:rFonts w:eastAsia="宋体"/>
                <w:b/>
                <w:bCs/>
              </w:rPr>
              <w:t>TU Estimate</w:t>
            </w:r>
          </w:p>
          <w:p>
            <w:pPr>
              <w:spacing w:after="180"/>
              <w:rPr>
                <w:rFonts w:eastAsia="宋体"/>
                <w:b/>
                <w:bCs/>
              </w:rPr>
            </w:pPr>
            <w:r>
              <w:rPr>
                <w:rFonts w:eastAsia="宋体"/>
                <w:b/>
                <w:bCs/>
              </w:rPr>
              <w:t>(Normative)</w:t>
            </w:r>
          </w:p>
        </w:tc>
        <w:tc>
          <w:tcPr>
            <w:tcW w:w="1843" w:type="dxa"/>
            <w:tcBorders>
              <w:top w:val="single" w:color="auto" w:sz="4" w:space="0"/>
              <w:left w:val="single" w:color="auto" w:sz="4" w:space="0"/>
              <w:bottom w:val="single" w:color="auto" w:sz="4" w:space="0"/>
              <w:right w:val="single" w:color="auto" w:sz="4" w:space="0"/>
            </w:tcBorders>
          </w:tcPr>
          <w:p>
            <w:pPr>
              <w:spacing w:after="180"/>
              <w:rPr>
                <w:rFonts w:eastAsia="宋体"/>
                <w:b/>
                <w:bCs/>
              </w:rPr>
            </w:pPr>
            <w:r>
              <w:rPr>
                <w:rFonts w:eastAsia="宋体"/>
                <w:b/>
                <w:bCs/>
              </w:rPr>
              <w:t>RAN Dependency</w:t>
            </w:r>
          </w:p>
          <w:p>
            <w:pPr>
              <w:spacing w:after="180"/>
              <w:rPr>
                <w:rFonts w:eastAsia="宋体"/>
                <w:b/>
                <w:bCs/>
              </w:rPr>
            </w:pPr>
            <w:r>
              <w:rPr>
                <w:rFonts w:eastAsia="宋体"/>
                <w:b/>
                <w:bCs/>
              </w:rPr>
              <w:t xml:space="preserve">(Yes/No/Maybe) </w:t>
            </w:r>
          </w:p>
        </w:tc>
        <w:tc>
          <w:tcPr>
            <w:tcW w:w="1842" w:type="dxa"/>
            <w:tcBorders>
              <w:top w:val="single" w:color="auto" w:sz="4" w:space="0"/>
              <w:left w:val="single" w:color="auto" w:sz="4" w:space="0"/>
              <w:bottom w:val="single" w:color="auto" w:sz="4" w:space="0"/>
              <w:right w:val="single" w:color="auto" w:sz="4" w:space="0"/>
            </w:tcBorders>
          </w:tcPr>
          <w:p>
            <w:pPr>
              <w:spacing w:after="180"/>
              <w:rPr>
                <w:rFonts w:eastAsia="宋体"/>
                <w:b/>
                <w:bCs/>
              </w:rPr>
            </w:pPr>
            <w:r>
              <w:rPr>
                <w:rFonts w:eastAsia="宋体"/>
                <w:b/>
                <w:bCs/>
              </w:rPr>
              <w:t>SA Dependency</w:t>
            </w:r>
          </w:p>
          <w:p>
            <w:pPr>
              <w:spacing w:after="180"/>
              <w:rPr>
                <w:rFonts w:eastAsia="宋体"/>
                <w:b/>
                <w:bCs/>
              </w:rPr>
            </w:pPr>
            <w:r>
              <w:rPr>
                <w:rFonts w:eastAsia="宋体"/>
                <w:b/>
                <w:bCs/>
              </w:rPr>
              <w:t>(Yes/No/Maybe)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tcPr>
          <w:p>
            <w:pPr>
              <w:spacing w:after="180"/>
              <w:rPr>
                <w:rFonts w:eastAsia="宋体"/>
                <w:lang w:eastAsia="zh-CN"/>
              </w:rPr>
            </w:pPr>
            <w:r>
              <w:rPr>
                <w:rFonts w:eastAsia="宋体"/>
                <w:lang w:eastAsia="zh-CN"/>
              </w:rPr>
              <w:t>WoP#1</w:t>
            </w:r>
          </w:p>
        </w:tc>
        <w:tc>
          <w:tcPr>
            <w:tcW w:w="1560" w:type="dxa"/>
            <w:tcBorders>
              <w:top w:val="single" w:color="auto" w:sz="4" w:space="0"/>
              <w:left w:val="single" w:color="auto" w:sz="4" w:space="0"/>
              <w:bottom w:val="single" w:color="auto" w:sz="4" w:space="0"/>
              <w:right w:val="single" w:color="auto" w:sz="4" w:space="0"/>
            </w:tcBorders>
          </w:tcPr>
          <w:p>
            <w:pPr>
              <w:spacing w:after="180"/>
              <w:rPr>
                <w:rFonts w:eastAsia="宋体"/>
                <w:lang w:eastAsia="zh-CN"/>
              </w:rPr>
            </w:pPr>
            <w:r>
              <w:rPr>
                <w:rFonts w:eastAsia="宋体"/>
                <w:lang w:eastAsia="zh-CN"/>
              </w:rPr>
              <w:t>1</w:t>
            </w:r>
          </w:p>
        </w:tc>
        <w:tc>
          <w:tcPr>
            <w:tcW w:w="1559" w:type="dxa"/>
            <w:tcBorders>
              <w:top w:val="single" w:color="auto" w:sz="4" w:space="0"/>
              <w:left w:val="single" w:color="auto" w:sz="4" w:space="0"/>
              <w:bottom w:val="single" w:color="auto" w:sz="4" w:space="0"/>
              <w:right w:val="single" w:color="auto" w:sz="4" w:space="0"/>
            </w:tcBorders>
          </w:tcPr>
          <w:p>
            <w:pPr>
              <w:spacing w:after="180"/>
              <w:rPr>
                <w:rFonts w:eastAsia="宋体"/>
                <w:lang w:eastAsia="zh-CN"/>
              </w:rPr>
            </w:pPr>
            <w:r>
              <w:rPr>
                <w:rFonts w:eastAsia="宋体"/>
                <w:lang w:eastAsia="zh-CN"/>
              </w:rPr>
              <w:t>1</w:t>
            </w:r>
          </w:p>
        </w:tc>
        <w:tc>
          <w:tcPr>
            <w:tcW w:w="1843" w:type="dxa"/>
            <w:tcBorders>
              <w:top w:val="single" w:color="auto" w:sz="4" w:space="0"/>
              <w:left w:val="single" w:color="auto" w:sz="4" w:space="0"/>
              <w:bottom w:val="single" w:color="auto" w:sz="4" w:space="0"/>
              <w:right w:val="single" w:color="auto" w:sz="4" w:space="0"/>
            </w:tcBorders>
          </w:tcPr>
          <w:p>
            <w:pPr>
              <w:spacing w:after="180"/>
              <w:rPr>
                <w:rFonts w:eastAsia="宋体"/>
                <w:lang w:eastAsia="zh-CN"/>
              </w:rPr>
            </w:pPr>
            <w:r>
              <w:rPr>
                <w:rFonts w:eastAsia="宋体"/>
                <w:lang w:eastAsia="zh-CN"/>
              </w:rPr>
              <w:t>Yes</w:t>
            </w:r>
          </w:p>
        </w:tc>
        <w:tc>
          <w:tcPr>
            <w:tcW w:w="1842" w:type="dxa"/>
            <w:tcBorders>
              <w:top w:val="single" w:color="auto" w:sz="4" w:space="0"/>
              <w:left w:val="single" w:color="auto" w:sz="4" w:space="0"/>
              <w:bottom w:val="single" w:color="auto" w:sz="4" w:space="0"/>
              <w:right w:val="single" w:color="auto" w:sz="4" w:space="0"/>
            </w:tcBorders>
          </w:tcPr>
          <w:p>
            <w:pPr>
              <w:spacing w:after="180"/>
              <w:rPr>
                <w:rFonts w:eastAsia="宋体"/>
                <w:lang w:eastAsia="zh-CN"/>
              </w:rPr>
            </w:pPr>
            <w:r>
              <w:rPr>
                <w:rFonts w:eastAsia="宋体"/>
                <w:lang w:eastAsia="zh-CN"/>
              </w:rPr>
              <w:t xml:space="preserve">Yes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tcPr>
          <w:p>
            <w:pPr>
              <w:spacing w:after="180"/>
              <w:rPr>
                <w:rFonts w:eastAsia="宋体"/>
              </w:rPr>
            </w:pPr>
            <w:r>
              <w:rPr>
                <w:rFonts w:eastAsia="宋体"/>
                <w:lang w:eastAsia="zh-CN"/>
              </w:rPr>
              <w:t>WoP#2</w:t>
            </w:r>
          </w:p>
        </w:tc>
        <w:tc>
          <w:tcPr>
            <w:tcW w:w="1560" w:type="dxa"/>
            <w:tcBorders>
              <w:top w:val="single" w:color="auto" w:sz="4" w:space="0"/>
              <w:left w:val="single" w:color="auto" w:sz="4" w:space="0"/>
              <w:bottom w:val="single" w:color="auto" w:sz="4" w:space="0"/>
              <w:right w:val="single" w:color="auto" w:sz="4" w:space="0"/>
            </w:tcBorders>
          </w:tcPr>
          <w:p>
            <w:pPr>
              <w:spacing w:after="180"/>
              <w:rPr>
                <w:rFonts w:eastAsia="宋体"/>
                <w:lang w:eastAsia="zh-CN"/>
              </w:rPr>
            </w:pPr>
            <w:r>
              <w:rPr>
                <w:rFonts w:eastAsia="宋体"/>
                <w:lang w:eastAsia="zh-CN"/>
              </w:rPr>
              <w:t>1</w:t>
            </w:r>
          </w:p>
        </w:tc>
        <w:tc>
          <w:tcPr>
            <w:tcW w:w="1559" w:type="dxa"/>
            <w:tcBorders>
              <w:top w:val="single" w:color="auto" w:sz="4" w:space="0"/>
              <w:left w:val="single" w:color="auto" w:sz="4" w:space="0"/>
              <w:bottom w:val="single" w:color="auto" w:sz="4" w:space="0"/>
              <w:right w:val="single" w:color="auto" w:sz="4" w:space="0"/>
            </w:tcBorders>
          </w:tcPr>
          <w:p>
            <w:pPr>
              <w:spacing w:after="180"/>
              <w:rPr>
                <w:rFonts w:eastAsia="宋体"/>
                <w:lang w:eastAsia="zh-CN"/>
              </w:rPr>
            </w:pPr>
            <w:r>
              <w:rPr>
                <w:rFonts w:eastAsia="宋体"/>
                <w:lang w:eastAsia="zh-CN"/>
              </w:rPr>
              <w:t>1</w:t>
            </w:r>
          </w:p>
        </w:tc>
        <w:tc>
          <w:tcPr>
            <w:tcW w:w="1843" w:type="dxa"/>
            <w:tcBorders>
              <w:top w:val="single" w:color="auto" w:sz="4" w:space="0"/>
              <w:left w:val="single" w:color="auto" w:sz="4" w:space="0"/>
              <w:bottom w:val="single" w:color="auto" w:sz="4" w:space="0"/>
              <w:right w:val="single" w:color="auto" w:sz="4" w:space="0"/>
            </w:tcBorders>
          </w:tcPr>
          <w:p>
            <w:pPr>
              <w:spacing w:after="180"/>
              <w:rPr>
                <w:rFonts w:eastAsia="宋体"/>
              </w:rPr>
            </w:pPr>
            <w:r>
              <w:rPr>
                <w:rFonts w:eastAsia="宋体"/>
              </w:rPr>
              <w:t>Yes</w:t>
            </w:r>
          </w:p>
        </w:tc>
        <w:tc>
          <w:tcPr>
            <w:tcW w:w="1842" w:type="dxa"/>
            <w:tcBorders>
              <w:top w:val="single" w:color="auto" w:sz="4" w:space="0"/>
              <w:left w:val="single" w:color="auto" w:sz="4" w:space="0"/>
              <w:bottom w:val="single" w:color="auto" w:sz="4" w:space="0"/>
              <w:right w:val="single" w:color="auto" w:sz="4" w:space="0"/>
            </w:tcBorders>
          </w:tcPr>
          <w:p>
            <w:pPr>
              <w:spacing w:after="180"/>
              <w:rPr>
                <w:rFonts w:eastAsia="宋体"/>
              </w:rPr>
            </w:pPr>
            <w:r>
              <w:rPr>
                <w:rFonts w:eastAsia="宋体"/>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tcPr>
          <w:p>
            <w:pPr>
              <w:spacing w:after="180"/>
              <w:rPr>
                <w:rFonts w:eastAsia="宋体"/>
              </w:rPr>
            </w:pPr>
            <w:r>
              <w:rPr>
                <w:rFonts w:eastAsia="宋体"/>
                <w:lang w:eastAsia="zh-CN"/>
              </w:rPr>
              <w:t>WoP#3</w:t>
            </w:r>
          </w:p>
        </w:tc>
        <w:tc>
          <w:tcPr>
            <w:tcW w:w="1560" w:type="dxa"/>
            <w:tcBorders>
              <w:top w:val="single" w:color="auto" w:sz="4" w:space="0"/>
              <w:left w:val="single" w:color="auto" w:sz="4" w:space="0"/>
              <w:bottom w:val="single" w:color="auto" w:sz="4" w:space="0"/>
              <w:right w:val="single" w:color="auto" w:sz="4" w:space="0"/>
            </w:tcBorders>
          </w:tcPr>
          <w:p>
            <w:pPr>
              <w:spacing w:after="180"/>
              <w:rPr>
                <w:rFonts w:eastAsia="宋体"/>
                <w:lang w:eastAsia="zh-CN"/>
              </w:rPr>
            </w:pPr>
            <w:r>
              <w:rPr>
                <w:rFonts w:eastAsia="宋体"/>
                <w:lang w:eastAsia="zh-CN"/>
              </w:rPr>
              <w:t>1</w:t>
            </w:r>
          </w:p>
        </w:tc>
        <w:tc>
          <w:tcPr>
            <w:tcW w:w="1559" w:type="dxa"/>
            <w:tcBorders>
              <w:top w:val="single" w:color="auto" w:sz="4" w:space="0"/>
              <w:left w:val="single" w:color="auto" w:sz="4" w:space="0"/>
              <w:bottom w:val="single" w:color="auto" w:sz="4" w:space="0"/>
              <w:right w:val="single" w:color="auto" w:sz="4" w:space="0"/>
            </w:tcBorders>
          </w:tcPr>
          <w:p>
            <w:pPr>
              <w:spacing w:after="180"/>
              <w:rPr>
                <w:rFonts w:eastAsia="宋体"/>
                <w:lang w:eastAsia="zh-CN"/>
              </w:rPr>
            </w:pPr>
            <w:r>
              <w:rPr>
                <w:rFonts w:eastAsia="宋体"/>
                <w:lang w:eastAsia="zh-CN"/>
              </w:rPr>
              <w:t>1</w:t>
            </w:r>
          </w:p>
        </w:tc>
        <w:tc>
          <w:tcPr>
            <w:tcW w:w="1843" w:type="dxa"/>
            <w:tcBorders>
              <w:top w:val="single" w:color="auto" w:sz="4" w:space="0"/>
              <w:left w:val="single" w:color="auto" w:sz="4" w:space="0"/>
              <w:bottom w:val="single" w:color="auto" w:sz="4" w:space="0"/>
              <w:right w:val="single" w:color="auto" w:sz="4" w:space="0"/>
            </w:tcBorders>
          </w:tcPr>
          <w:p>
            <w:pPr>
              <w:spacing w:after="180"/>
              <w:rPr>
                <w:rFonts w:eastAsia="宋体"/>
              </w:rPr>
            </w:pPr>
            <w:r>
              <w:rPr>
                <w:rFonts w:eastAsia="宋体"/>
              </w:rPr>
              <w:t>Yes</w:t>
            </w:r>
          </w:p>
        </w:tc>
        <w:tc>
          <w:tcPr>
            <w:tcW w:w="1842" w:type="dxa"/>
            <w:tcBorders>
              <w:top w:val="single" w:color="auto" w:sz="4" w:space="0"/>
              <w:left w:val="single" w:color="auto" w:sz="4" w:space="0"/>
              <w:bottom w:val="single" w:color="auto" w:sz="4" w:space="0"/>
              <w:right w:val="single" w:color="auto" w:sz="4" w:space="0"/>
            </w:tcBorders>
          </w:tcPr>
          <w:p>
            <w:pPr>
              <w:spacing w:after="180"/>
              <w:rPr>
                <w:rFonts w:eastAsia="宋体"/>
              </w:rPr>
            </w:pPr>
            <w:r>
              <w:rPr>
                <w:rFonts w:eastAsia="宋体"/>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Borders>
              <w:top w:val="single" w:color="auto" w:sz="4" w:space="0"/>
              <w:left w:val="single" w:color="auto" w:sz="4" w:space="0"/>
              <w:bottom w:val="single" w:color="auto" w:sz="4" w:space="0"/>
              <w:right w:val="single" w:color="auto" w:sz="4" w:space="0"/>
            </w:tcBorders>
          </w:tcPr>
          <w:p>
            <w:pPr>
              <w:spacing w:after="180"/>
              <w:rPr>
                <w:rFonts w:eastAsia="宋体"/>
              </w:rPr>
            </w:pPr>
            <w:r>
              <w:rPr>
                <w:rFonts w:eastAsia="宋体"/>
                <w:lang w:eastAsia="zh-CN"/>
              </w:rPr>
              <w:t>WoP#4</w:t>
            </w:r>
          </w:p>
        </w:tc>
        <w:tc>
          <w:tcPr>
            <w:tcW w:w="1560" w:type="dxa"/>
            <w:tcBorders>
              <w:top w:val="single" w:color="auto" w:sz="4" w:space="0"/>
              <w:left w:val="single" w:color="auto" w:sz="4" w:space="0"/>
              <w:bottom w:val="single" w:color="auto" w:sz="4" w:space="0"/>
              <w:right w:val="single" w:color="auto" w:sz="4" w:space="0"/>
            </w:tcBorders>
          </w:tcPr>
          <w:p>
            <w:pPr>
              <w:spacing w:after="180"/>
              <w:rPr>
                <w:rFonts w:eastAsia="宋体"/>
              </w:rPr>
            </w:pPr>
            <w:r>
              <w:rPr>
                <w:rFonts w:eastAsia="宋体"/>
              </w:rPr>
              <w:t>1</w:t>
            </w:r>
          </w:p>
        </w:tc>
        <w:tc>
          <w:tcPr>
            <w:tcW w:w="1559" w:type="dxa"/>
            <w:tcBorders>
              <w:top w:val="single" w:color="auto" w:sz="4" w:space="0"/>
              <w:left w:val="single" w:color="auto" w:sz="4" w:space="0"/>
              <w:bottom w:val="single" w:color="auto" w:sz="4" w:space="0"/>
              <w:right w:val="single" w:color="auto" w:sz="4" w:space="0"/>
            </w:tcBorders>
          </w:tcPr>
          <w:p>
            <w:pPr>
              <w:spacing w:after="180"/>
              <w:rPr>
                <w:rFonts w:eastAsia="宋体"/>
              </w:rPr>
            </w:pPr>
            <w:r>
              <w:rPr>
                <w:rFonts w:eastAsia="宋体"/>
              </w:rPr>
              <w:t>1</w:t>
            </w:r>
          </w:p>
        </w:tc>
        <w:tc>
          <w:tcPr>
            <w:tcW w:w="1843" w:type="dxa"/>
            <w:tcBorders>
              <w:top w:val="single" w:color="auto" w:sz="4" w:space="0"/>
              <w:left w:val="single" w:color="auto" w:sz="4" w:space="0"/>
              <w:bottom w:val="single" w:color="auto" w:sz="4" w:space="0"/>
              <w:right w:val="single" w:color="auto" w:sz="4" w:space="0"/>
            </w:tcBorders>
          </w:tcPr>
          <w:p>
            <w:pPr>
              <w:spacing w:after="180"/>
              <w:rPr>
                <w:rFonts w:eastAsia="宋体"/>
              </w:rPr>
            </w:pPr>
            <w:r>
              <w:rPr>
                <w:rFonts w:eastAsia="宋体"/>
              </w:rPr>
              <w:t>Yes</w:t>
            </w:r>
          </w:p>
        </w:tc>
        <w:tc>
          <w:tcPr>
            <w:tcW w:w="1842" w:type="dxa"/>
            <w:tcBorders>
              <w:top w:val="single" w:color="auto" w:sz="4" w:space="0"/>
              <w:left w:val="single" w:color="auto" w:sz="4" w:space="0"/>
              <w:bottom w:val="single" w:color="auto" w:sz="4" w:space="0"/>
              <w:right w:val="single" w:color="auto" w:sz="4" w:space="0"/>
            </w:tcBorders>
          </w:tcPr>
          <w:p>
            <w:pPr>
              <w:spacing w:after="180"/>
              <w:rPr>
                <w:rFonts w:eastAsia="宋体"/>
              </w:rPr>
            </w:pPr>
            <w:r>
              <w:rPr>
                <w:rFonts w:eastAsia="宋体"/>
                <w:lang w:eastAsia="zh-CN"/>
              </w:rPr>
              <w:t>Yes</w:t>
            </w:r>
          </w:p>
        </w:tc>
      </w:tr>
    </w:tbl>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RjMTY5YmU2MGY3NDZkNTQzMjgzMjkzZGZkYTdiNGMifQ=="/>
  </w:docVars>
  <w:rsids>
    <w:rsidRoot w:val="00660354"/>
    <w:rsid w:val="000035C6"/>
    <w:rsid w:val="00005E54"/>
    <w:rsid w:val="0002191A"/>
    <w:rsid w:val="0003016C"/>
    <w:rsid w:val="00030CD4"/>
    <w:rsid w:val="000344A1"/>
    <w:rsid w:val="00042051"/>
    <w:rsid w:val="00046686"/>
    <w:rsid w:val="00046D57"/>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0636"/>
    <w:rsid w:val="000F6E51"/>
    <w:rsid w:val="00102A24"/>
    <w:rsid w:val="001122B1"/>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18E4"/>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239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67C4"/>
    <w:rsid w:val="003275E6"/>
    <w:rsid w:val="00354553"/>
    <w:rsid w:val="00366B88"/>
    <w:rsid w:val="003715B7"/>
    <w:rsid w:val="00376C60"/>
    <w:rsid w:val="00384F99"/>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E7077"/>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0A26"/>
    <w:rsid w:val="0064121E"/>
    <w:rsid w:val="00642894"/>
    <w:rsid w:val="00660354"/>
    <w:rsid w:val="006606DB"/>
    <w:rsid w:val="006649B9"/>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444"/>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23BA"/>
    <w:rsid w:val="00795AD1"/>
    <w:rsid w:val="007A13E2"/>
    <w:rsid w:val="007B5456"/>
    <w:rsid w:val="007B5F65"/>
    <w:rsid w:val="007C767B"/>
    <w:rsid w:val="007D2018"/>
    <w:rsid w:val="007D3C7C"/>
    <w:rsid w:val="007D687A"/>
    <w:rsid w:val="007E0113"/>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1324"/>
    <w:rsid w:val="00B16E03"/>
    <w:rsid w:val="00B1749C"/>
    <w:rsid w:val="00B30214"/>
    <w:rsid w:val="00B3290F"/>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163BA"/>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0040"/>
    <w:rsid w:val="00D355FB"/>
    <w:rsid w:val="00D43C0B"/>
    <w:rsid w:val="00D43FB2"/>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4110"/>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3440"/>
    <w:rsid w:val="00F64378"/>
    <w:rsid w:val="00F67FC3"/>
    <w:rsid w:val="00F763A4"/>
    <w:rsid w:val="00F80D67"/>
    <w:rsid w:val="00F81CF2"/>
    <w:rsid w:val="00F82A04"/>
    <w:rsid w:val="00F83DF3"/>
    <w:rsid w:val="00F941B8"/>
    <w:rsid w:val="00F96F38"/>
    <w:rsid w:val="00FA5FA5"/>
    <w:rsid w:val="00FA6721"/>
    <w:rsid w:val="00FA7365"/>
    <w:rsid w:val="00FA79A7"/>
    <w:rsid w:val="00FB0681"/>
    <w:rsid w:val="00FC527C"/>
    <w:rsid w:val="00FC643D"/>
    <w:rsid w:val="00FD1DAF"/>
    <w:rsid w:val="00FE3DCC"/>
    <w:rsid w:val="00FE53C8"/>
    <w:rsid w:val="00FE5FB7"/>
    <w:rsid w:val="2A8C7CAF"/>
    <w:rsid w:val="5AF13A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4"/>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1"/>
    <w:uiPriority w:val="0"/>
    <w:pPr>
      <w:tabs>
        <w:tab w:val="center" w:pos="4153"/>
        <w:tab w:val="right" w:pos="8306"/>
      </w:tabs>
    </w:pPr>
  </w:style>
  <w:style w:type="paragraph" w:styleId="12">
    <w:name w:val="toc 9"/>
    <w:basedOn w:val="9"/>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semiHidden/>
    <w:qFormat/>
    <w:uiPriority w:val="0"/>
    <w:pPr>
      <w:keepLines/>
    </w:pPr>
  </w:style>
  <w:style w:type="character" w:styleId="16">
    <w:name w:val="page number"/>
    <w:basedOn w:val="15"/>
    <w:qFormat/>
    <w:uiPriority w:val="0"/>
  </w:style>
  <w:style w:type="paragraph" w:customStyle="1" w:styleId="17">
    <w:name w:val="B1"/>
    <w:basedOn w:val="1"/>
    <w:qFormat/>
    <w:uiPriority w:val="0"/>
    <w:pPr>
      <w:ind w:left="567" w:hanging="567"/>
      <w:jc w:val="both"/>
    </w:pPr>
    <w:rPr>
      <w:rFonts w:ascii="Arial" w:hAnsi="Arial"/>
    </w:rPr>
  </w:style>
  <w:style w:type="paragraph" w:customStyle="1" w:styleId="18">
    <w:name w:val="00 BodyText"/>
    <w:basedOn w:val="1"/>
    <w:qFormat/>
    <w:uiPriority w:val="0"/>
    <w:pPr>
      <w:spacing w:after="220"/>
    </w:pPr>
    <w:rPr>
      <w:rFonts w:ascii="Arial" w:hAnsi="Arial"/>
      <w:sz w:val="22"/>
      <w:lang w:val="en-US"/>
    </w:rPr>
  </w:style>
  <w:style w:type="paragraph" w:customStyle="1" w:styleId="19">
    <w:name w:val="??"/>
    <w:qFormat/>
    <w:uiPriority w:val="0"/>
    <w:pPr>
      <w:widowControl w:val="0"/>
    </w:pPr>
    <w:rPr>
      <w:rFonts w:ascii="Times New Roman" w:hAnsi="Times New Roman" w:cs="Times New Roman" w:eastAsiaTheme="minorEastAsia"/>
      <w:lang w:val="en-US" w:eastAsia="en-US" w:bidi="ar-SA"/>
    </w:rPr>
  </w:style>
  <w:style w:type="paragraph" w:customStyle="1" w:styleId="20">
    <w:name w:val="??? 2"/>
    <w:basedOn w:val="19"/>
    <w:next w:val="19"/>
    <w:qFormat/>
    <w:uiPriority w:val="0"/>
    <w:pPr>
      <w:keepNext/>
    </w:pPr>
    <w:rPr>
      <w:rFonts w:ascii="Arial" w:hAnsi="Arial"/>
      <w:b/>
      <w:sz w:val="24"/>
    </w:rPr>
  </w:style>
  <w:style w:type="paragraph" w:customStyle="1" w:styleId="21">
    <w:name w:val="CR Cover Page"/>
    <w:qFormat/>
    <w:uiPriority w:val="0"/>
    <w:pPr>
      <w:spacing w:after="120"/>
    </w:pPr>
    <w:rPr>
      <w:rFonts w:ascii="Arial" w:hAnsi="Arial" w:cs="Times New Roman" w:eastAsiaTheme="minorEastAsia"/>
      <w:lang w:val="en-GB" w:eastAsia="en-US" w:bidi="ar-SA"/>
    </w:rPr>
  </w:style>
  <w:style w:type="paragraph" w:styleId="22">
    <w:name w:val="List Paragraph"/>
    <w:basedOn w:val="1"/>
    <w:qFormat/>
    <w:uiPriority w:val="34"/>
    <w:pPr>
      <w:spacing w:before="100" w:beforeAutospacing="1" w:after="100" w:afterAutospacing="1"/>
    </w:pPr>
    <w:rPr>
      <w:sz w:val="24"/>
      <w:szCs w:val="24"/>
      <w:lang w:val="en-US"/>
    </w:rPr>
  </w:style>
  <w:style w:type="paragraph" w:customStyle="1" w:styleId="23">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4">
    <w:name w:val="标题 8 字符"/>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5">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6">
    <w:name w:val="TAH"/>
    <w:basedOn w:val="27"/>
    <w:qFormat/>
    <w:uiPriority w:val="0"/>
    <w:rPr>
      <w:b/>
    </w:rPr>
  </w:style>
  <w:style w:type="paragraph" w:customStyle="1" w:styleId="27">
    <w:name w:val="TAC"/>
    <w:basedOn w:val="25"/>
    <w:qFormat/>
    <w:uiPriority w:val="0"/>
    <w:pPr>
      <w:jc w:val="center"/>
    </w:pPr>
  </w:style>
  <w:style w:type="paragraph" w:customStyle="1" w:styleId="28">
    <w:name w:val="FP"/>
    <w:basedOn w:val="1"/>
    <w:qFormat/>
    <w:uiPriority w:val="0"/>
    <w:pPr>
      <w:overflowPunct w:val="0"/>
      <w:autoSpaceDE w:val="0"/>
      <w:autoSpaceDN w:val="0"/>
      <w:adjustRightInd w:val="0"/>
      <w:textAlignment w:val="baseline"/>
    </w:pPr>
    <w:rPr>
      <w:color w:val="000000"/>
      <w:lang w:eastAsia="ja-JP"/>
    </w:rPr>
  </w:style>
  <w:style w:type="paragraph" w:customStyle="1" w:styleId="29">
    <w:name w:val="Revision"/>
    <w:hidden/>
    <w:semiHidden/>
    <w:qFormat/>
    <w:uiPriority w:val="99"/>
    <w:rPr>
      <w:rFonts w:ascii="Times New Roman" w:hAnsi="Times New Roman" w:cs="Times New Roman" w:eastAsiaTheme="minorEastAsia"/>
      <w:lang w:val="en-GB" w:eastAsia="en-US" w:bidi="ar-SA"/>
    </w:rPr>
  </w:style>
  <w:style w:type="paragraph" w:customStyle="1" w:styleId="30">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1">
    <w:name w:val="页眉 字符"/>
    <w:link w:val="11"/>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1115</Words>
  <Characters>6460</Characters>
  <Lines>53</Lines>
  <Paragraphs>15</Paragraphs>
  <TotalTime>24</TotalTime>
  <ScaleCrop>false</ScaleCrop>
  <LinksUpToDate>false</LinksUpToDate>
  <CharactersWithSpaces>7560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2023-09-29T16:49:00Z</dcterms:created>
  <dc:creator>Alain Sultan</dc:creator>
  <cp:lastModifiedBy>Lenovov</cp:lastModifiedBy>
  <cp:lastPrinted>2001-04-23T09:30:00Z</cp:lastPrinted>
  <dcterms:modified xsi:type="dcterms:W3CDTF">2023-09-29T17:31:40Z</dcterms:modified>
  <dc:title>Source:</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2C870338165F46929FD7FDDCDAB83B54_12</vt:lpwstr>
  </property>
</Properties>
</file>